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478145" cy="1076325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120" cy="1076400"/>
                          <a:chOff x="0" y="0"/>
                          <a:chExt cx="5478120" cy="10764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5478120" cy="10764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5478120" cy="10764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0" name="Shape 4" descr="C:\Users\CADASTRO ÚNICO\Documents\1 2022 - 2023\DOCUMENTOS CONSELHOS 2023\CMDCA\CMDCA logo nova.jpg"/>
                            <pic:cNvPicPr/>
                          </pic:nvPicPr>
                          <pic:blipFill>
                            <a:blip r:embed="rId2"/>
                            <a:srcRect l="10044" t="7311" r="6873" b="12404"/>
                            <a:stretch/>
                          </pic:blipFill>
                          <pic:spPr>
                            <a:xfrm>
                              <a:off x="0" y="0"/>
                              <a:ext cx="1051560" cy="107640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714240" y="162000"/>
                              <a:ext cx="4763880" cy="766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center"/>
                                  <w:rPr/>
                                </w:pPr>
                                <w:r>
                                  <w:rPr>
                                    <w:sz w:val="36"/>
                                    <w:b w:val="false"/>
                                    <w:u w:val="none"/>
                                    <w:dstrike w:val="false"/>
                                    <w:strike w:val="false"/>
                                    <w:i w:val="false"/>
                                    <w:vertAlign w:val="baseline"/>
                                    <w:position w:val="0"/>
                                    <w:spacing w:val="0"/>
                                    <w:szCs w:val="36"/>
                                    <w:bCs w:val="false"/>
                                    <w:iCs w:val="false"/>
                                    <w:smallCaps w:val="false"/>
                                    <w:caps w:val="false"/>
                                    <w:rFonts w:ascii="Clarendon Blk BT" w:hAnsi="Clarendon Blk BT" w:eastAsia="Clarendon Blk BT" w:cs="Clarendon Blk BT"/>
                                    <w:color w:val="365F91"/>
                                    <w:lang w:eastAsia="zh-CN" w:bidi="hi-IN"/>
                                  </w:rPr>
                                  <w:t>Conselho Municipal dos Direitos da Criança e do Adolescente de Içara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jc w:val="left"/>
                                  <w:rPr/>
                                </w:pPr>
                                <w:r>
                                  <w:rPr>
                                    <w:rFonts w:eastAsia="NSimSun" w:cs="Arial"/>
                                    <w:lang w:eastAsia="zh-CN" w:bidi="hi-IN"/>
                                  </w:rPr>
                                </w:r>
                              </w:p>
                            </w:txbxContent>
                          </wps:txbx>
                          <wps:bodyPr lIns="90000" rIns="90000" tIns="766800" bIns="766800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1" style="position:absolute;margin-left:0pt;margin-top:0pt;width:431.35pt;height:84.75pt" coordorigin="0,0" coordsize="8627,1695">
                <v:group id="shape_0" style="position:absolute;left:0;top:0;width:8627;height:1695">
                  <v:rect id="shape_0" ID="Shape 3" path="m0,0l-2147483645,0l-2147483645,-2147483646l0,-2147483646xe" stroked="f" o:allowincell="f" style="position:absolute;left:0;top:0;width:8626;height:1694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4" stroked="f" o:allowincell="f" style="position:absolute;left:0;top:0;width:1655;height:1694;mso-wrap-style:none;v-text-anchor:middle" type="_x0000_t75">
                    <v:imagedata r:id="rId2" o:detectmouseclick="t"/>
                    <v:stroke color="#3465a4" joinstyle="round" endcap="flat"/>
                    <w10:wrap type="none"/>
                  </v:shape>
                  <v:rect id="shape_0" ID="Shape 5" path="m0,0l-2147483645,0l-2147483645,-2147483646l0,-2147483646xe" stroked="f" o:allowincell="f" style="position:absolute;left:1125;top:255;width:7501;height:1206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jc w:val="center"/>
                            <w:rPr/>
                          </w:pPr>
                          <w:r>
                            <w:rPr>
                              <w:sz w:val="36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36"/>
                              <w:bCs w:val="false"/>
                              <w:iCs w:val="false"/>
                              <w:smallCaps w:val="false"/>
                              <w:caps w:val="false"/>
                              <w:rFonts w:ascii="Clarendon Blk BT" w:hAnsi="Clarendon Blk BT" w:eastAsia="Clarendon Blk BT" w:cs="Clarendon Blk BT"/>
                              <w:color w:val="365F91"/>
                              <w:lang w:eastAsia="zh-CN" w:bidi="hi-IN"/>
                            </w:rPr>
                            <w:t>Conselho Municipal dos Direitos da Criança e do Adolescente de Içara</w:t>
                          </w:r>
                        </w:p>
                        <w:p>
                          <w:pPr>
                            <w:overflowPunct w:val="false"/>
                            <w:spacing w:before="0" w:after="0" w:lineRule="auto" w:line="240"/>
                            <w:jc w:val="left"/>
                            <w:rPr/>
                          </w:pPr>
                          <w:r>
                            <w:rPr>
                              <w:rFonts w:eastAsia="NSimSun" w:cs="Arial"/>
                              <w:lang w:eastAsia="zh-CN" w:bidi="hi-IN"/>
                            </w:rPr>
                          </w:r>
                        </w:p>
                      </w:txbxContent>
                    </v:textbox>
                    <v:fill o:detectmouseclick="t" on="false"/>
                    <v:stroke color="#3465a4" joinstyle="round" endcap="flat"/>
                    <w10:wrap type="none"/>
                  </v:rect>
                </v:group>
              </v:group>
            </w:pict>
          </mc:Fallback>
        </mc:AlternateContent>
      </w:r>
    </w:p>
    <w:p>
      <w:pPr>
        <w:pStyle w:val="Normal1"/>
        <w:tabs>
          <w:tab w:val="clear" w:pos="720"/>
          <w:tab w:val="right" w:pos="9497" w:leader="none"/>
        </w:tabs>
        <w:rPr/>
      </w:pPr>
      <w:r>
        <w:rPr/>
        <w:tab/>
      </w:r>
    </w:p>
    <w:p>
      <w:pPr>
        <w:pStyle w:val="Normal1"/>
        <w:tabs>
          <w:tab w:val="clear" w:pos="720"/>
          <w:tab w:val="right" w:pos="9497" w:leader="none"/>
        </w:tabs>
        <w:rPr/>
      </w:pPr>
      <w:r>
        <w:rPr/>
      </w:r>
    </w:p>
    <w:p>
      <w:pPr>
        <w:pStyle w:val="Normal1"/>
        <w:tabs>
          <w:tab w:val="clear" w:pos="720"/>
          <w:tab w:val="right" w:pos="9497" w:leader="none"/>
        </w:tabs>
        <w:rPr/>
      </w:pPr>
      <w:r>
        <w:rPr/>
      </w:r>
    </w:p>
    <w:p>
      <w:pPr>
        <w:pStyle w:val="Normal1"/>
        <w:tabs>
          <w:tab w:val="clear" w:pos="720"/>
          <w:tab w:val="right" w:pos="9497" w:leader="none"/>
        </w:tabs>
        <w:rPr/>
      </w:pPr>
      <w:r>
        <w:rPr/>
      </w:r>
    </w:p>
    <w:p>
      <w:pPr>
        <w:pStyle w:val="Normal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6"/>
          <w:szCs w:val="26"/>
        </w:rPr>
        <w:t>Resolução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Nº </w:t>
      </w:r>
      <w:r>
        <w:rPr>
          <w:rFonts w:eastAsia="Arial" w:cs="Arial" w:ascii="Arial" w:hAnsi="Arial"/>
          <w:b/>
          <w:sz w:val="26"/>
          <w:szCs w:val="26"/>
        </w:rPr>
        <w:t>16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6"/>
          <w:szCs w:val="26"/>
        </w:rPr>
        <w:t>De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sz w:val="26"/>
          <w:szCs w:val="26"/>
        </w:rPr>
        <w:t>10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de </w:t>
      </w:r>
      <w:r>
        <w:rPr>
          <w:rFonts w:eastAsia="Arial" w:cs="Arial" w:ascii="Arial" w:hAnsi="Arial"/>
          <w:b/>
          <w:sz w:val="26"/>
          <w:szCs w:val="26"/>
        </w:rPr>
        <w:t>outubro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 xml:space="preserve"> de 202</w:t>
      </w:r>
      <w:r>
        <w:rPr>
          <w:rFonts w:eastAsia="Arial" w:cs="Arial" w:ascii="Arial" w:hAnsi="Arial"/>
          <w:b/>
          <w:sz w:val="26"/>
          <w:szCs w:val="26"/>
        </w:rPr>
        <w:t>4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6"/>
          <w:sz w:val="26"/>
          <w:szCs w:val="26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396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Define a composição da comissão organizadora do processo eleitoral da representação da sociedade civil no CMDCA, Gestão 202</w:t>
      </w:r>
      <w:r>
        <w:rPr>
          <w:rFonts w:eastAsia="Arial" w:cs="Arial" w:ascii="Arial" w:hAnsi="Arial"/>
          <w:sz w:val="22"/>
          <w:szCs w:val="22"/>
        </w:rPr>
        <w:t>4/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202</w:t>
      </w:r>
      <w:r>
        <w:rPr>
          <w:rFonts w:eastAsia="Arial" w:cs="Arial" w:ascii="Arial" w:hAnsi="Arial"/>
          <w:sz w:val="22"/>
          <w:szCs w:val="22"/>
        </w:rPr>
        <w:t>6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e dá outras providências. </w:t>
      </w:r>
    </w:p>
    <w:p>
      <w:pPr>
        <w:pStyle w:val="Normal1"/>
        <w:spacing w:lineRule="auto" w:line="288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 CONSELHO MUNICIPAL DOS DIREITOS DA CRIANÇA E DO ADOLESCENTE - CMDCA,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do município de Içara, no exercício de suas atribuições legais e considerando o disposto na Lei Federal nº 8.069, de 13 de julho de 1990, conferidas pela Lei Municipal 4.387 de 07 de junho de 2019 e suas alterações, e demais disposições vigentes e a Assembleia Geral Ordinária de </w:t>
      </w:r>
      <w:r>
        <w:rPr>
          <w:rFonts w:eastAsia="Arial" w:cs="Arial" w:ascii="Arial" w:hAnsi="Arial"/>
          <w:sz w:val="22"/>
          <w:szCs w:val="22"/>
        </w:rPr>
        <w:t>10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</w:t>
      </w:r>
      <w:r>
        <w:rPr>
          <w:rFonts w:eastAsia="Arial" w:cs="Arial" w:ascii="Arial" w:hAnsi="Arial"/>
          <w:sz w:val="22"/>
          <w:szCs w:val="22"/>
        </w:rPr>
        <w:t>outubro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de 202</w:t>
      </w:r>
      <w:r>
        <w:rPr>
          <w:rFonts w:eastAsia="Arial" w:cs="Arial" w:ascii="Arial" w:hAnsi="Arial"/>
          <w:sz w:val="22"/>
          <w:szCs w:val="22"/>
        </w:rPr>
        <w:t>4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 disposto na Lei Federal 8.069, de 13 de julho de 1990, que dispõe sobre o estatuto da criança e do adolescente;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Resolução CONANDA nº 105/2005 e 106/2005, que dispõem sobre os parâmetros para criação e funcionamento dos Conselhos dos Direitos da Criança e do Adolescente;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Resolução CONANDA nº 116/2006, que altera dispositivos das Resoluções Nº 105/2005 e 106/2005, que dispõe sobre os Parâmetros para Criação e Funcionamento dos Conselhos dos Direitos da Criança e do Adolescente e dá outras providências;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CONSIDERANDO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Lei Municipal nº 4.387 de 07 de junho de 2019,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em seu artigo 14º,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dispõe sobre o processo de eleição dos representantes da sociedade civil no Conselho Municipal dos Direitos da Criança e do Adolescente – CMDCA;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312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RESOLVE: </w:t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Art. 1º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Constituir a Comissão Organizadora do </w:t>
      </w:r>
      <w:r>
        <w:rPr>
          <w:rFonts w:eastAsia="Arial" w:cs="Arial" w:ascii="Arial" w:hAnsi="Arial"/>
          <w:sz w:val="22"/>
          <w:szCs w:val="22"/>
        </w:rPr>
        <w:t>processo eleitoral da representação da sociedade civil no Conselho Municipal dos Direitos da Criança e do Adolescente - Gestão 2024/2026, que será composta por:</w:t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numPr>
          <w:ilvl w:val="0"/>
          <w:numId w:val="1"/>
        </w:numPr>
        <w:spacing w:lineRule="auto" w:line="312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Lisiane Cesconetto Mazzuco Fernandes;</w:t>
      </w:r>
    </w:p>
    <w:p>
      <w:pPr>
        <w:pStyle w:val="Normal1"/>
        <w:numPr>
          <w:ilvl w:val="0"/>
          <w:numId w:val="1"/>
        </w:numPr>
        <w:spacing w:lineRule="auto" w:line="312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Delcira de Maman Garcia;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Thimoty Tereza Pereira;</w:t>
      </w:r>
    </w:p>
    <w:p>
      <w:pPr>
        <w:pStyle w:val="Normal1"/>
        <w:widowControl w:val="false"/>
        <w:numPr>
          <w:ilvl w:val="0"/>
          <w:numId w:val="1"/>
        </w:numPr>
        <w:spacing w:lineRule="auto" w:line="276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Maria Eduarda de Souza Bitencourt.</w:t>
      </w:r>
    </w:p>
    <w:p>
      <w:pPr>
        <w:pStyle w:val="Normal1"/>
        <w:numPr>
          <w:ilvl w:val="0"/>
          <w:numId w:val="1"/>
        </w:numPr>
        <w:spacing w:lineRule="auto" w:line="276"/>
        <w:ind w:left="720" w:hanging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Marcia Adenete Peruchi Woichinevsk</w:t>
      </w:r>
      <w:r>
        <w:rPr>
          <w:rFonts w:eastAsia="Arial" w:cs="Arial" w:ascii="Arial" w:hAnsi="Arial"/>
          <w:sz w:val="28"/>
          <w:szCs w:val="28"/>
        </w:rPr>
        <w:t>i</w:t>
      </w:r>
    </w:p>
    <w:p>
      <w:pPr>
        <w:pStyle w:val="Normal1"/>
        <w:ind w:left="72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color w:val="000000"/>
          <w:sz w:val="22"/>
          <w:szCs w:val="22"/>
          <w:highlight w:val="yellow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Art. 2º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 Comissão Eleitoral coordenará o processo eleitoral até a instalação da Assembleia de Eleição. </w:t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Parágrafo Único - A Comissão Eleitoral elegerá, entre seus membros, um presidente e um secretário.</w:t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spacing w:lineRule="auto" w:line="312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Art. 3º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 Comissão eleitoral terá as seguintes atribuições: </w:t>
      </w:r>
    </w:p>
    <w:p>
      <w:pPr>
        <w:pStyle w:val="Normal1"/>
        <w:numPr>
          <w:ilvl w:val="0"/>
          <w:numId w:val="2"/>
        </w:numPr>
        <w:spacing w:lineRule="auto" w:line="240" w:before="24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Elaborar o Edital do Processo de Eleição dos representantes da Sociedade Civil para o biênio 2024/2026, e encaminhar para deliberação do pleno do CMDCA; </w:t>
        <w:tab/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Divulgar o Processo Eleitoral junto aos segmentos que fazem parte da Composição do CMDCA;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Convidar o Ministério Público para participar da Assembleia Eleitoral; </w:t>
        <w:tab/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Receber e analisar, juntamente com a Secretaria Executiva, os documentos enviados pelas OSC’ e respectivos eleitores e habilitar as candidaturas das OSC’s;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Divulgar a relação dos representantes habilitados e não habilitados ao processo de eleição;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Receber e analisar os recursos apresentados pelas Organizações da Sociedade Civil - OSC não habilitadas, julgar os pedidos de recursos e dar parecer final; </w:t>
        <w:tab/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Divulgar as decisões sobre os recursos apresentados;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Conduzir a Assembleia de eleição e apurar os votos;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Fazer </w:t>
        <w:tab/>
        <w:t xml:space="preserve">a leitura e aprovação da Ata da Assembleia de Eleição; </w:t>
        <w:tab/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Decidir os casos omissos, considerando todos os dispositivos legais sobre a matéria.</w:t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Divulgar o processo na mídia e outros meios; </w:t>
        <w:tab/>
        <w:br/>
        <w:t xml:space="preserve"> </w:t>
        <w:tab/>
      </w:r>
    </w:p>
    <w:p>
      <w:pPr>
        <w:pStyle w:val="Normal1"/>
        <w:numPr>
          <w:ilvl w:val="0"/>
          <w:numId w:val="2"/>
        </w:numPr>
        <w:spacing w:lineRule="auto" w:line="240" w:beforeAutospacing="0" w:before="0" w:after="240"/>
        <w:ind w:left="720" w:hanging="36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Publicizar o processo eletivo junto às Organizações da Sociedade Civil.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360"/>
        <w:jc w:val="both"/>
        <w:rPr>
          <w:rFonts w:ascii="Arial" w:hAnsi="Arial" w:eastAsia="Arial" w:cs="Arial"/>
          <w:sz w:val="22"/>
          <w:szCs w:val="22"/>
        </w:rPr>
      </w:pPr>
      <w:bookmarkStart w:id="0" w:name="_heading=h.gjdgxs"/>
      <w:bookmarkEnd w:id="0"/>
      <w:r>
        <w:rPr>
          <w:rFonts w:eastAsia="Arial" w:cs="Arial" w:ascii="Arial" w:hAnsi="Arial"/>
          <w:b/>
          <w:sz w:val="22"/>
          <w:szCs w:val="22"/>
        </w:rPr>
        <w:t>Art. 4º</w:t>
      </w:r>
      <w:r>
        <w:rPr>
          <w:rFonts w:eastAsia="Arial" w:cs="Arial" w:ascii="Arial" w:hAnsi="Arial"/>
          <w:sz w:val="22"/>
          <w:szCs w:val="22"/>
        </w:rPr>
        <w:t xml:space="preserve"> - Esta Resolução entra em vigor na data de sua publicação, gerando efeitos a partir da data da aprovação em Plenária.</w:t>
      </w:r>
    </w:p>
    <w:p>
      <w:pPr>
        <w:pStyle w:val="Normal1"/>
        <w:spacing w:lineRule="auto" w:line="360"/>
        <w:jc w:val="righ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360"/>
        <w:jc w:val="righ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Içara, 10 de outubro de 2024.</w:t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jc w:val="left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1"/>
        <w:widowControl w:val="false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Marcia Adenete Peruchi Woichinevski</w:t>
      </w:r>
    </w:p>
    <w:p>
      <w:pPr>
        <w:pStyle w:val="Normal1"/>
        <w:widowControl w:val="false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Presidente do Conselho Municipal dos Direitos da Criança e do Adolescente -</w:t>
      </w:r>
    </w:p>
    <w:p>
      <w:pPr>
        <w:pStyle w:val="Normal1"/>
        <w:widowControl w:val="false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CMDCA</w:t>
      </w:r>
    </w:p>
    <w:sectPr>
      <w:type w:val="nextPage"/>
      <w:pgSz w:w="11906" w:h="16838"/>
      <w:pgMar w:left="1276" w:right="1133" w:gutter="0" w:header="0" w:top="90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larendon Blk BT">
    <w:charset w:val="00"/>
    <w:family w:val="auto"/>
    <w:pitch w:val="default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sid w:val="0004495e"/>
    <w:rPr>
      <w:strike w:val="false"/>
      <w:dstrike w:val="false"/>
      <w:color w:val="0068CF"/>
      <w:u w:val="none"/>
      <w:effect w:val="none"/>
    </w:rPr>
  </w:style>
  <w:style w:type="character" w:styleId="Sendersafetymsg2" w:customStyle="1">
    <w:name w:val="sendersafetymsg2"/>
    <w:basedOn w:val="DefaultParagraphFont"/>
    <w:qFormat/>
    <w:rsid w:val="0004495e"/>
    <w:rPr/>
  </w:style>
  <w:style w:type="character" w:styleId="TextodebaloChar" w:customStyle="1">
    <w:name w:val="Texto de balão Char"/>
    <w:basedOn w:val="DefaultParagraphFont"/>
    <w:link w:val="BalloonText"/>
    <w:qFormat/>
    <w:rsid w:val="004c06a1"/>
    <w:rPr>
      <w:rFonts w:ascii="Tahoma" w:hAnsi="Tahoma" w:cs="Tahoma"/>
      <w:sz w:val="16"/>
      <w:szCs w:val="16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rsid w:val="00bb5789"/>
    <w:pPr>
      <w:jc w:val="both"/>
    </w:pPr>
    <w:rPr>
      <w:rFonts w:ascii="Bookman Old Style" w:hAnsi="Bookman Old Style"/>
      <w:sz w:val="22"/>
      <w:szCs w:val="12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1"/>
    <w:qFormat/>
    <w:rsid w:val="0004495e"/>
    <w:pPr>
      <w:spacing w:beforeAutospacing="1" w:afterAutospacing="1"/>
    </w:pPr>
    <w:rPr/>
  </w:style>
  <w:style w:type="paragraph" w:styleId="Ecmsonormal" w:customStyle="1">
    <w:name w:val="ec_msonormal"/>
    <w:basedOn w:val="Normal1"/>
    <w:qFormat/>
    <w:rsid w:val="0004495e"/>
    <w:pPr>
      <w:spacing w:beforeAutospacing="1" w:afterAutospacing="1"/>
    </w:pPr>
    <w:rPr/>
  </w:style>
  <w:style w:type="paragraph" w:styleId="CabealhoeRodap">
    <w:name w:val="Cabeçalho e Rodapé"/>
    <w:basedOn w:val="Normal1"/>
    <w:qFormat/>
    <w:pPr/>
    <w:rPr/>
  </w:style>
  <w:style w:type="paragraph" w:styleId="Cabealho">
    <w:name w:val="Header"/>
    <w:basedOn w:val="Normal1"/>
    <w:rsid w:val="00bb5789"/>
    <w:pPr>
      <w:tabs>
        <w:tab w:val="clear" w:pos="720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Corpodotextorecuado">
    <w:name w:val="Body Text Indent"/>
    <w:basedOn w:val="Normal1"/>
    <w:rsid w:val="00834cd1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6d3ad8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1"/>
    <w:uiPriority w:val="34"/>
    <w:qFormat/>
    <w:rsid w:val="0047409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1"/>
    <w:link w:val="TextodebaloChar"/>
    <w:qFormat/>
    <w:rsid w:val="004c06a1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1"/>
    <w:qFormat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pso7Pi6mAyXLph941Eg+VLfwoNQ==">CgMxLjAyCGguZ2pkZ3hzOAByITFrTmxXRnhuNHB0bE56S1E2cHREU1VBM21FS01CRnhyZA==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3</Pages>
  <Words>539</Words>
  <Characters>2856</Characters>
  <CharactersWithSpaces>3396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2022-09-01T19:29:00Z</dcterms:created>
  <dc:creator>Conselho Municipal</dc:creator>
  <dc:description/>
  <dc:language>pt-BR</dc:language>
  <cp:lastModifiedBy/>
  <cp:revision>0</cp:revision>
  <dc:subject/>
  <dc:title/>
</cp:coreProperties>
</file>